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DE95" w14:textId="3951BA6C" w:rsidR="00861C40" w:rsidRDefault="001D5D7D" w:rsidP="001D5D7D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0"/>
          <w:lang w:eastAsia="zh-TW"/>
        </w:rPr>
      </w:pPr>
      <w:r w:rsidRPr="001D5D7D">
        <w:rPr>
          <w:rFonts w:ascii="微軟正黑體" w:eastAsia="微軟正黑體" w:hAnsi="微軟正黑體" w:hint="eastAsia"/>
          <w:lang w:eastAsia="zh-TW"/>
        </w:rPr>
        <w:t>移動式起重機作業安全檢查表</w:t>
      </w:r>
    </w:p>
    <w:p w14:paraId="74712DAA" w14:textId="77777777" w:rsidR="001D5D7D" w:rsidRDefault="001D5D7D" w:rsidP="001D5D7D">
      <w:pPr>
        <w:spacing w:beforeLines="100" w:before="240" w:line="300" w:lineRule="exact"/>
        <w:jc w:val="both"/>
        <w:rPr>
          <w:rFonts w:ascii="微軟正黑體" w:eastAsia="微軟正黑體" w:hAnsi="微軟正黑體"/>
          <w:sz w:val="28"/>
          <w:u w:val="single"/>
          <w:lang w:eastAsia="zh-TW"/>
        </w:rPr>
      </w:pPr>
      <w:r>
        <w:rPr>
          <w:rFonts w:ascii="微軟正黑體" w:eastAsia="微軟正黑體" w:hAnsi="微軟正黑體" w:hint="eastAsia"/>
          <w:sz w:val="28"/>
          <w:lang w:eastAsia="zh-TW"/>
        </w:rPr>
        <w:t>檢查日期：       年      月      日                                          合格證號：</w:t>
      </w:r>
    </w:p>
    <w:tbl>
      <w:tblPr>
        <w:tblW w:w="10915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"/>
        <w:gridCol w:w="7011"/>
        <w:gridCol w:w="992"/>
        <w:gridCol w:w="877"/>
        <w:gridCol w:w="1391"/>
      </w:tblGrid>
      <w:tr w:rsidR="001D5D7D" w14:paraId="0ECDC31E" w14:textId="77777777" w:rsidTr="00777B38">
        <w:trPr>
          <w:cantSplit/>
          <w:trHeight w:val="372"/>
        </w:trPr>
        <w:tc>
          <w:tcPr>
            <w:tcW w:w="7655" w:type="dxa"/>
            <w:gridSpan w:val="2"/>
            <w:vMerge w:val="restart"/>
            <w:vAlign w:val="center"/>
          </w:tcPr>
          <w:p w14:paraId="34F1B776" w14:textId="77777777" w:rsidR="001D5D7D" w:rsidRDefault="001D5D7D" w:rsidP="00777B38">
            <w:pPr>
              <w:jc w:val="distribute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檢查項目</w:t>
            </w:r>
            <w:proofErr w:type="spellEnd"/>
          </w:p>
        </w:tc>
        <w:tc>
          <w:tcPr>
            <w:tcW w:w="1869" w:type="dxa"/>
            <w:gridSpan w:val="2"/>
          </w:tcPr>
          <w:p w14:paraId="38180881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結果</w:t>
            </w:r>
            <w:proofErr w:type="spellEnd"/>
          </w:p>
        </w:tc>
        <w:tc>
          <w:tcPr>
            <w:tcW w:w="1391" w:type="dxa"/>
            <w:vMerge w:val="restart"/>
          </w:tcPr>
          <w:p w14:paraId="0D0B0027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不合格</w:t>
            </w:r>
            <w:proofErr w:type="spellEnd"/>
          </w:p>
          <w:p w14:paraId="7A118FFD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改善措施</w:t>
            </w:r>
            <w:proofErr w:type="spellEnd"/>
          </w:p>
        </w:tc>
      </w:tr>
      <w:tr w:rsidR="001D5D7D" w14:paraId="446C5B52" w14:textId="77777777" w:rsidTr="00777B38">
        <w:trPr>
          <w:cantSplit/>
          <w:trHeight w:val="327"/>
        </w:trPr>
        <w:tc>
          <w:tcPr>
            <w:tcW w:w="7655" w:type="dxa"/>
            <w:gridSpan w:val="2"/>
            <w:vMerge/>
          </w:tcPr>
          <w:p w14:paraId="06C30016" w14:textId="77777777" w:rsidR="001D5D7D" w:rsidRDefault="001D5D7D" w:rsidP="00777B38">
            <w:pPr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992" w:type="dxa"/>
          </w:tcPr>
          <w:p w14:paraId="01E70996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合格</w:t>
            </w:r>
            <w:proofErr w:type="spellEnd"/>
          </w:p>
        </w:tc>
        <w:tc>
          <w:tcPr>
            <w:tcW w:w="877" w:type="dxa"/>
          </w:tcPr>
          <w:p w14:paraId="17677ECF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不合格</w:t>
            </w:r>
            <w:proofErr w:type="spellEnd"/>
          </w:p>
        </w:tc>
        <w:tc>
          <w:tcPr>
            <w:tcW w:w="1391" w:type="dxa"/>
            <w:vMerge/>
          </w:tcPr>
          <w:p w14:paraId="78789155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1D5D7D" w14:paraId="77211271" w14:textId="77777777" w:rsidTr="00777B38">
        <w:trPr>
          <w:cantSplit/>
          <w:trHeight w:hRule="exact" w:val="360"/>
        </w:trPr>
        <w:tc>
          <w:tcPr>
            <w:tcW w:w="644" w:type="dxa"/>
            <w:vMerge w:val="restart"/>
          </w:tcPr>
          <w:p w14:paraId="0BF832EE" w14:textId="77777777" w:rsidR="001D5D7D" w:rsidRDefault="001D5D7D" w:rsidP="00777B38">
            <w:pPr>
              <w:tabs>
                <w:tab w:val="left" w:pos="3332"/>
              </w:tabs>
              <w:rPr>
                <w:rFonts w:ascii="微軟正黑體" w:eastAsia="微軟正黑體" w:hAnsi="微軟正黑體"/>
                <w:lang w:eastAsia="zh-TW"/>
              </w:rPr>
            </w:pPr>
          </w:p>
          <w:p w14:paraId="4BC69BA4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一</w:t>
            </w:r>
          </w:p>
          <w:p w14:paraId="1D4DD1D9" w14:textId="77777777" w:rsidR="001D5D7D" w:rsidRDefault="001D5D7D" w:rsidP="00777B38">
            <w:pPr>
              <w:tabs>
                <w:tab w:val="left" w:pos="3332"/>
              </w:tabs>
              <w:rPr>
                <w:rFonts w:ascii="微軟正黑體" w:eastAsia="微軟正黑體" w:hAnsi="微軟正黑體"/>
                <w:lang w:eastAsia="zh-TW"/>
              </w:rPr>
            </w:pPr>
          </w:p>
          <w:p w14:paraId="4D78418E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般</w:t>
            </w:r>
          </w:p>
          <w:p w14:paraId="1977C89E" w14:textId="77777777" w:rsidR="001D5D7D" w:rsidRDefault="001D5D7D" w:rsidP="00777B38">
            <w:pPr>
              <w:tabs>
                <w:tab w:val="left" w:pos="3332"/>
              </w:tabs>
              <w:rPr>
                <w:rFonts w:ascii="微軟正黑體" w:eastAsia="微軟正黑體" w:hAnsi="微軟正黑體"/>
                <w:lang w:eastAsia="zh-TW"/>
              </w:rPr>
            </w:pPr>
          </w:p>
          <w:p w14:paraId="23581BAF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規</w:t>
            </w:r>
          </w:p>
          <w:p w14:paraId="062ACA97" w14:textId="77777777" w:rsidR="001D5D7D" w:rsidRDefault="001D5D7D" w:rsidP="00777B38">
            <w:pPr>
              <w:tabs>
                <w:tab w:val="left" w:pos="3332"/>
              </w:tabs>
              <w:rPr>
                <w:rFonts w:ascii="微軟正黑體" w:eastAsia="微軟正黑體" w:hAnsi="微軟正黑體"/>
                <w:lang w:eastAsia="zh-TW"/>
              </w:rPr>
            </w:pPr>
          </w:p>
          <w:p w14:paraId="32AAB74E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定</w:t>
            </w:r>
          </w:p>
        </w:tc>
        <w:tc>
          <w:tcPr>
            <w:tcW w:w="7011" w:type="dxa"/>
          </w:tcPr>
          <w:p w14:paraId="5A470ADE" w14:textId="77777777" w:rsidR="001D5D7D" w:rsidRDefault="001D5D7D" w:rsidP="00777B3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4" w:lineRule="atLeast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制動器、離合器、控制器操作正常，能維持性能</w:t>
            </w:r>
          </w:p>
          <w:p w14:paraId="7278D730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992" w:type="dxa"/>
          </w:tcPr>
          <w:p w14:paraId="20E445E6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705A4CF6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53477359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1F7DD281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4ACD7595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4724AAC6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操作式玻璃窗應潔淨而有良好視線</w:t>
            </w:r>
          </w:p>
        </w:tc>
        <w:tc>
          <w:tcPr>
            <w:tcW w:w="992" w:type="dxa"/>
          </w:tcPr>
          <w:p w14:paraId="64B83902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0A6FDBB8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004CDB18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6D6A850E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39016DD7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06DFA434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底盤伸縮腳架操作應正常</w:t>
            </w:r>
          </w:p>
        </w:tc>
        <w:tc>
          <w:tcPr>
            <w:tcW w:w="992" w:type="dxa"/>
          </w:tcPr>
          <w:p w14:paraId="4CAB233A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5C7334B8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4ABA7014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0FD3A754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2A7F6977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74FDCBF9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桁架及桁架聯結裝置良好</w:t>
            </w:r>
          </w:p>
        </w:tc>
        <w:tc>
          <w:tcPr>
            <w:tcW w:w="992" w:type="dxa"/>
          </w:tcPr>
          <w:p w14:paraId="4787162E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246AACF8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2B7A59CC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15596EF0" w14:textId="77777777" w:rsidTr="00777B38">
        <w:trPr>
          <w:cantSplit/>
          <w:trHeight w:hRule="exact" w:val="373"/>
        </w:trPr>
        <w:tc>
          <w:tcPr>
            <w:tcW w:w="644" w:type="dxa"/>
            <w:vMerge/>
          </w:tcPr>
          <w:p w14:paraId="45C6E82E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7AC5FC0F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操作人員或駕駛人員於起重機吊有荷重時，不得擅離操作位置或駕駛室</w:t>
            </w:r>
          </w:p>
        </w:tc>
        <w:tc>
          <w:tcPr>
            <w:tcW w:w="992" w:type="dxa"/>
          </w:tcPr>
          <w:p w14:paraId="1863B301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43D6E20A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25AA67B6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1F70F068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23019B0C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0FA5D522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應於操作人員及吊掛作業者易見處，置有額定荷重之明顯標示</w:t>
            </w:r>
          </w:p>
        </w:tc>
        <w:tc>
          <w:tcPr>
            <w:tcW w:w="992" w:type="dxa"/>
          </w:tcPr>
          <w:p w14:paraId="67EE2E8C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377CAFB7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456DC6D0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50E37746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4AC38D43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4B0F281E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操作手、吊</w:t>
            </w:r>
            <w:proofErr w:type="gramStart"/>
            <w:r>
              <w:rPr>
                <w:rFonts w:ascii="微軟正黑體" w:eastAsia="微軟正黑體" w:hAnsi="微軟正黑體" w:hint="eastAsia"/>
                <w:lang w:eastAsia="zh-TW"/>
              </w:rPr>
              <w:t>掛手應</w:t>
            </w:r>
            <w:proofErr w:type="gramEnd"/>
            <w:r>
              <w:rPr>
                <w:rFonts w:ascii="微軟正黑體" w:eastAsia="微軟正黑體" w:hAnsi="微軟正黑體" w:hint="eastAsia"/>
                <w:lang w:eastAsia="zh-TW"/>
              </w:rPr>
              <w:t>有合格證照</w:t>
            </w:r>
          </w:p>
        </w:tc>
        <w:tc>
          <w:tcPr>
            <w:tcW w:w="992" w:type="dxa"/>
          </w:tcPr>
          <w:p w14:paraId="1F82EC81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7CB7D006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32B47B1B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054E0FC9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4163A8AC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274AAC12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起重機具應經檢查合格方得使用</w:t>
            </w:r>
          </w:p>
        </w:tc>
        <w:tc>
          <w:tcPr>
            <w:tcW w:w="992" w:type="dxa"/>
          </w:tcPr>
          <w:p w14:paraId="76B8035B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0C65AB94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33740770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3D839EDB" w14:textId="77777777" w:rsidTr="00777B38">
        <w:trPr>
          <w:cantSplit/>
          <w:trHeight w:hRule="exact" w:val="360"/>
        </w:trPr>
        <w:tc>
          <w:tcPr>
            <w:tcW w:w="644" w:type="dxa"/>
            <w:vMerge/>
            <w:tcBorders>
              <w:bottom w:val="single" w:sz="4" w:space="0" w:color="auto"/>
            </w:tcBorders>
          </w:tcPr>
          <w:p w14:paraId="1EC0390F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4F59C047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以吊物為限，不得乘載</w:t>
            </w:r>
            <w:proofErr w:type="gramStart"/>
            <w:r>
              <w:rPr>
                <w:rFonts w:ascii="微軟正黑體" w:eastAsia="微軟正黑體" w:hAnsi="微軟正黑體" w:hint="eastAsia"/>
                <w:lang w:eastAsia="zh-TW"/>
              </w:rPr>
              <w:t>或吊升勞工</w:t>
            </w:r>
            <w:proofErr w:type="gramEnd"/>
            <w:r>
              <w:rPr>
                <w:rFonts w:ascii="微軟正黑體" w:eastAsia="微軟正黑體" w:hAnsi="微軟正黑體" w:hint="eastAsia"/>
                <w:lang w:eastAsia="zh-TW"/>
              </w:rPr>
              <w:t>從事作業</w:t>
            </w:r>
          </w:p>
          <w:p w14:paraId="413236BD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</w:p>
          <w:p w14:paraId="3E6ACD6C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</w:p>
          <w:p w14:paraId="22577D21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992" w:type="dxa"/>
          </w:tcPr>
          <w:p w14:paraId="11682D1D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64976802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1F7DF097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3B570B6D" w14:textId="77777777" w:rsidTr="00777B38">
        <w:trPr>
          <w:cantSplit/>
          <w:trHeight w:hRule="exact" w:val="372"/>
        </w:trPr>
        <w:tc>
          <w:tcPr>
            <w:tcW w:w="644" w:type="dxa"/>
            <w:vMerge/>
            <w:tcBorders>
              <w:bottom w:val="single" w:sz="4" w:space="0" w:color="auto"/>
            </w:tcBorders>
          </w:tcPr>
          <w:p w14:paraId="7D7214C4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1C93A1E9" w14:textId="77777777" w:rsidR="001D5D7D" w:rsidRDefault="001D5D7D" w:rsidP="00777B38">
            <w:pPr>
              <w:tabs>
                <w:tab w:val="left" w:pos="3332"/>
              </w:tabs>
              <w:spacing w:line="0" w:lineRule="atLeast"/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起重機具之作業應規定一定之運轉指揮信號，並指派專人負責辦理</w:t>
            </w:r>
          </w:p>
        </w:tc>
        <w:tc>
          <w:tcPr>
            <w:tcW w:w="992" w:type="dxa"/>
          </w:tcPr>
          <w:p w14:paraId="66B7211D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1A7E3B97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77C0D277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3209B866" w14:textId="77777777" w:rsidTr="00777B38">
        <w:trPr>
          <w:cantSplit/>
          <w:trHeight w:hRule="exact" w:val="360"/>
        </w:trPr>
        <w:tc>
          <w:tcPr>
            <w:tcW w:w="644" w:type="dxa"/>
            <w:vMerge w:val="restart"/>
          </w:tcPr>
          <w:p w14:paraId="155E3987" w14:textId="77777777" w:rsidR="001D5D7D" w:rsidRDefault="001D5D7D" w:rsidP="00777B38">
            <w:pPr>
              <w:tabs>
                <w:tab w:val="left" w:pos="3332"/>
              </w:tabs>
              <w:spacing w:line="300" w:lineRule="exact"/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  <w:p w14:paraId="5AD1BD38" w14:textId="77777777" w:rsidR="001D5D7D" w:rsidRDefault="001D5D7D" w:rsidP="00777B38">
            <w:pPr>
              <w:tabs>
                <w:tab w:val="left" w:pos="3332"/>
              </w:tabs>
              <w:spacing w:line="300" w:lineRule="exact"/>
              <w:jc w:val="center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物</w:t>
            </w:r>
          </w:p>
          <w:p w14:paraId="3B54EAA1" w14:textId="77777777" w:rsidR="001D5D7D" w:rsidRDefault="001D5D7D" w:rsidP="00777B38">
            <w:pPr>
              <w:tabs>
                <w:tab w:val="left" w:pos="3332"/>
              </w:tabs>
              <w:spacing w:line="300" w:lineRule="exact"/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  <w:p w14:paraId="43BA01CC" w14:textId="77777777" w:rsidR="001D5D7D" w:rsidRDefault="001D5D7D" w:rsidP="00777B38">
            <w:pPr>
              <w:tabs>
                <w:tab w:val="left" w:pos="3332"/>
              </w:tabs>
              <w:spacing w:line="3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體</w:t>
            </w:r>
          </w:p>
          <w:p w14:paraId="51E3CABF" w14:textId="77777777" w:rsidR="001D5D7D" w:rsidRDefault="001D5D7D" w:rsidP="00777B38">
            <w:pPr>
              <w:tabs>
                <w:tab w:val="left" w:pos="3332"/>
              </w:tabs>
              <w:spacing w:line="300" w:lineRule="exact"/>
              <w:jc w:val="center"/>
              <w:rPr>
                <w:rFonts w:ascii="微軟正黑體" w:eastAsia="微軟正黑體" w:hAnsi="微軟正黑體"/>
              </w:rPr>
            </w:pPr>
          </w:p>
          <w:p w14:paraId="2AE5E0D9" w14:textId="77777777" w:rsidR="001D5D7D" w:rsidRDefault="001D5D7D" w:rsidP="00777B38">
            <w:pPr>
              <w:tabs>
                <w:tab w:val="left" w:pos="3332"/>
              </w:tabs>
              <w:spacing w:line="3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飛</w:t>
            </w:r>
          </w:p>
          <w:p w14:paraId="4FEFA80B" w14:textId="77777777" w:rsidR="001D5D7D" w:rsidRDefault="001D5D7D" w:rsidP="00777B38">
            <w:pPr>
              <w:tabs>
                <w:tab w:val="left" w:pos="3332"/>
              </w:tabs>
              <w:spacing w:line="300" w:lineRule="exact"/>
              <w:jc w:val="center"/>
              <w:rPr>
                <w:rFonts w:ascii="微軟正黑體" w:eastAsia="微軟正黑體" w:hAnsi="微軟正黑體"/>
              </w:rPr>
            </w:pPr>
          </w:p>
          <w:p w14:paraId="380E8537" w14:textId="77777777" w:rsidR="001D5D7D" w:rsidRDefault="001D5D7D" w:rsidP="00777B38">
            <w:pPr>
              <w:tabs>
                <w:tab w:val="left" w:pos="3332"/>
              </w:tabs>
              <w:spacing w:line="3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落</w:t>
            </w:r>
          </w:p>
        </w:tc>
        <w:tc>
          <w:tcPr>
            <w:tcW w:w="7011" w:type="dxa"/>
          </w:tcPr>
          <w:p w14:paraId="201952F1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負載鋼索應良好</w:t>
            </w:r>
            <w:proofErr w:type="spellEnd"/>
          </w:p>
        </w:tc>
        <w:tc>
          <w:tcPr>
            <w:tcW w:w="992" w:type="dxa"/>
          </w:tcPr>
          <w:p w14:paraId="068FB7BA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77" w:type="dxa"/>
          </w:tcPr>
          <w:p w14:paraId="52881BAF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91" w:type="dxa"/>
          </w:tcPr>
          <w:p w14:paraId="4A9ADC7E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1D5D7D" w14:paraId="49AD192D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39F3E6BD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11" w:type="dxa"/>
          </w:tcPr>
          <w:p w14:paraId="5CE7B7A7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過</w:t>
            </w:r>
            <w:proofErr w:type="gramStart"/>
            <w:r>
              <w:rPr>
                <w:rFonts w:ascii="微軟正黑體" w:eastAsia="微軟正黑體" w:hAnsi="微軟正黑體" w:hint="eastAsia"/>
                <w:lang w:eastAsia="zh-TW"/>
              </w:rPr>
              <w:t>捲</w:t>
            </w:r>
            <w:proofErr w:type="gramEnd"/>
            <w:r>
              <w:rPr>
                <w:rFonts w:ascii="微軟正黑體" w:eastAsia="微軟正黑體" w:hAnsi="微軟正黑體" w:hint="eastAsia"/>
                <w:lang w:eastAsia="zh-TW"/>
              </w:rPr>
              <w:t>預防設備功能應正常</w:t>
            </w:r>
          </w:p>
        </w:tc>
        <w:tc>
          <w:tcPr>
            <w:tcW w:w="992" w:type="dxa"/>
          </w:tcPr>
          <w:p w14:paraId="407D5716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2382C388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6A93F865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5817131A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10ABAF10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2567B8E1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過負荷警報裝置功能應正常</w:t>
            </w:r>
          </w:p>
        </w:tc>
        <w:tc>
          <w:tcPr>
            <w:tcW w:w="992" w:type="dxa"/>
          </w:tcPr>
          <w:p w14:paraId="172C4ED5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19D8F29C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32E00B1D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08559C39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0844B5CC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4EFF156C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起重機之使用，應不得超過額定荷重</w:t>
            </w:r>
          </w:p>
        </w:tc>
        <w:tc>
          <w:tcPr>
            <w:tcW w:w="992" w:type="dxa"/>
          </w:tcPr>
          <w:p w14:paraId="2AE5A08F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464D5D00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20F594AE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4B443793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5756F559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3E0F2B7A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作業時應禁止人員進入</w:t>
            </w:r>
            <w:proofErr w:type="gramStart"/>
            <w:r>
              <w:rPr>
                <w:rFonts w:ascii="微軟正黑體" w:eastAsia="微軟正黑體" w:hAnsi="微軟正黑體" w:hint="eastAsia"/>
                <w:lang w:eastAsia="zh-TW"/>
              </w:rPr>
              <w:t>吊舉物</w:t>
            </w:r>
            <w:proofErr w:type="gramEnd"/>
            <w:r>
              <w:rPr>
                <w:rFonts w:ascii="微軟正黑體" w:eastAsia="微軟正黑體" w:hAnsi="微軟正黑體" w:hint="eastAsia"/>
                <w:lang w:eastAsia="zh-TW"/>
              </w:rPr>
              <w:t>下方</w:t>
            </w:r>
          </w:p>
        </w:tc>
        <w:tc>
          <w:tcPr>
            <w:tcW w:w="992" w:type="dxa"/>
          </w:tcPr>
          <w:p w14:paraId="6703C07C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15FC34BC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077FC20E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3F6FAD5D" w14:textId="77777777" w:rsidTr="00777B38">
        <w:trPr>
          <w:cantSplit/>
          <w:trHeight w:hRule="exact" w:val="360"/>
        </w:trPr>
        <w:tc>
          <w:tcPr>
            <w:tcW w:w="644" w:type="dxa"/>
            <w:vMerge/>
          </w:tcPr>
          <w:p w14:paraId="1314EDDA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24F589CE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吊鉤應正常</w:t>
            </w:r>
            <w:proofErr w:type="spellEnd"/>
          </w:p>
        </w:tc>
        <w:tc>
          <w:tcPr>
            <w:tcW w:w="992" w:type="dxa"/>
          </w:tcPr>
          <w:p w14:paraId="7AB473DB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77" w:type="dxa"/>
          </w:tcPr>
          <w:p w14:paraId="77CD9875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91" w:type="dxa"/>
          </w:tcPr>
          <w:p w14:paraId="255EC31B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1D5D7D" w14:paraId="5CB84BF3" w14:textId="77777777" w:rsidTr="00777B38">
        <w:trPr>
          <w:cantSplit/>
          <w:trHeight w:hRule="exact" w:val="360"/>
        </w:trPr>
        <w:tc>
          <w:tcPr>
            <w:tcW w:w="644" w:type="dxa"/>
            <w:vMerge/>
            <w:tcBorders>
              <w:bottom w:val="nil"/>
            </w:tcBorders>
          </w:tcPr>
          <w:p w14:paraId="3A5A985C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11" w:type="dxa"/>
          </w:tcPr>
          <w:p w14:paraId="4093D784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吊</w:t>
            </w:r>
            <w:proofErr w:type="gramStart"/>
            <w:r>
              <w:rPr>
                <w:rFonts w:ascii="微軟正黑體" w:eastAsia="微軟正黑體" w:hAnsi="微軟正黑體" w:hint="eastAsia"/>
                <w:lang w:eastAsia="zh-TW"/>
              </w:rPr>
              <w:t>鉤防滑舌片</w:t>
            </w:r>
            <w:proofErr w:type="gramEnd"/>
            <w:r>
              <w:rPr>
                <w:rFonts w:ascii="微軟正黑體" w:eastAsia="微軟正黑體" w:hAnsi="微軟正黑體" w:hint="eastAsia"/>
                <w:lang w:eastAsia="zh-TW"/>
              </w:rPr>
              <w:t>功能應正常</w:t>
            </w:r>
          </w:p>
        </w:tc>
        <w:tc>
          <w:tcPr>
            <w:tcW w:w="992" w:type="dxa"/>
          </w:tcPr>
          <w:p w14:paraId="02BFB17B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0F087CF3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53AE31C6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63859914" w14:textId="77777777" w:rsidTr="00777B38">
        <w:trPr>
          <w:cantSplit/>
          <w:trHeight w:hRule="exact" w:val="360"/>
        </w:trPr>
        <w:tc>
          <w:tcPr>
            <w:tcW w:w="644" w:type="dxa"/>
            <w:vMerge w:val="restart"/>
            <w:tcBorders>
              <w:top w:val="single" w:sz="6" w:space="0" w:color="auto"/>
              <w:bottom w:val="single" w:sz="12" w:space="0" w:color="auto"/>
            </w:tcBorders>
          </w:tcPr>
          <w:p w14:paraId="25468D02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  <w:p w14:paraId="1E9C5680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感</w:t>
            </w:r>
          </w:p>
          <w:p w14:paraId="6EAF3EFE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</w:t>
            </w:r>
          </w:p>
          <w:p w14:paraId="541095F3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防</w:t>
            </w:r>
          </w:p>
          <w:p w14:paraId="1B5578E6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止</w:t>
            </w:r>
          </w:p>
        </w:tc>
        <w:tc>
          <w:tcPr>
            <w:tcW w:w="7011" w:type="dxa"/>
          </w:tcPr>
          <w:p w14:paraId="390BDF6E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 w:hint="eastAsia"/>
              </w:rPr>
              <w:t>開關器應正常</w:t>
            </w:r>
            <w:proofErr w:type="spellEnd"/>
          </w:p>
        </w:tc>
        <w:tc>
          <w:tcPr>
            <w:tcW w:w="992" w:type="dxa"/>
          </w:tcPr>
          <w:p w14:paraId="17874A91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77" w:type="dxa"/>
          </w:tcPr>
          <w:p w14:paraId="3C445AB8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91" w:type="dxa"/>
          </w:tcPr>
          <w:p w14:paraId="2559079B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1D5D7D" w14:paraId="7A5BA671" w14:textId="77777777" w:rsidTr="00777B38">
        <w:trPr>
          <w:cantSplit/>
          <w:trHeight w:hRule="exact" w:val="360"/>
        </w:trPr>
        <w:tc>
          <w:tcPr>
            <w:tcW w:w="644" w:type="dxa"/>
            <w:vMerge/>
            <w:tcBorders>
              <w:top w:val="single" w:sz="6" w:space="0" w:color="auto"/>
              <w:bottom w:val="single" w:sz="12" w:space="0" w:color="auto"/>
            </w:tcBorders>
          </w:tcPr>
          <w:p w14:paraId="174E70F4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11" w:type="dxa"/>
          </w:tcPr>
          <w:p w14:paraId="37500E91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配線、供電線不可破損</w:t>
            </w:r>
          </w:p>
        </w:tc>
        <w:tc>
          <w:tcPr>
            <w:tcW w:w="992" w:type="dxa"/>
          </w:tcPr>
          <w:p w14:paraId="154BA6EC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124F61D6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0A6907C4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45F52B55" w14:textId="77777777" w:rsidTr="00777B38">
        <w:trPr>
          <w:cantSplit/>
          <w:trHeight w:hRule="exact" w:val="360"/>
        </w:trPr>
        <w:tc>
          <w:tcPr>
            <w:tcW w:w="644" w:type="dxa"/>
            <w:vMerge/>
            <w:tcBorders>
              <w:top w:val="single" w:sz="6" w:space="0" w:color="auto"/>
              <w:bottom w:val="single" w:sz="12" w:space="0" w:color="auto"/>
            </w:tcBorders>
          </w:tcPr>
          <w:p w14:paraId="290D3EC1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7C2D35C5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警報裝置、控制裝置等電器部份應正常</w:t>
            </w:r>
          </w:p>
        </w:tc>
        <w:tc>
          <w:tcPr>
            <w:tcW w:w="992" w:type="dxa"/>
          </w:tcPr>
          <w:p w14:paraId="6D74C797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3419E3F7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604B5B29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779A9C9D" w14:textId="77777777" w:rsidTr="00777B38">
        <w:trPr>
          <w:cantSplit/>
          <w:trHeight w:hRule="exact" w:val="360"/>
        </w:trPr>
        <w:tc>
          <w:tcPr>
            <w:tcW w:w="644" w:type="dxa"/>
            <w:vMerge/>
            <w:tcBorders>
              <w:top w:val="single" w:sz="6" w:space="0" w:color="auto"/>
              <w:bottom w:val="single" w:sz="12" w:space="0" w:color="auto"/>
            </w:tcBorders>
          </w:tcPr>
          <w:p w14:paraId="698C23E2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4049844C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 w:hint="eastAsia"/>
                <w:lang w:eastAsia="zh-TW"/>
              </w:rPr>
              <w:t>接近高架線路應保持安全距離，並由專人監督指揮</w:t>
            </w:r>
          </w:p>
        </w:tc>
        <w:tc>
          <w:tcPr>
            <w:tcW w:w="992" w:type="dxa"/>
          </w:tcPr>
          <w:p w14:paraId="5F65205D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459777EF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5EE0F818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  <w:tr w:rsidR="001D5D7D" w14:paraId="280E85D1" w14:textId="77777777" w:rsidTr="00777B38">
        <w:trPr>
          <w:cantSplit/>
          <w:trHeight w:hRule="exact" w:val="832"/>
        </w:trPr>
        <w:tc>
          <w:tcPr>
            <w:tcW w:w="644" w:type="dxa"/>
            <w:vMerge/>
            <w:tcBorders>
              <w:top w:val="single" w:sz="6" w:space="0" w:color="auto"/>
              <w:bottom w:val="single" w:sz="12" w:space="0" w:color="auto"/>
            </w:tcBorders>
          </w:tcPr>
          <w:p w14:paraId="01772275" w14:textId="77777777" w:rsidR="001D5D7D" w:rsidRDefault="001D5D7D" w:rsidP="00777B38">
            <w:pPr>
              <w:tabs>
                <w:tab w:val="left" w:pos="3332"/>
              </w:tabs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011" w:type="dxa"/>
          </w:tcPr>
          <w:p w14:paraId="527199E0" w14:textId="77777777" w:rsidR="001D5D7D" w:rsidRDefault="001D5D7D" w:rsidP="00777B38">
            <w:pPr>
              <w:tabs>
                <w:tab w:val="left" w:pos="3332"/>
              </w:tabs>
              <w:jc w:val="both"/>
              <w:rPr>
                <w:rFonts w:ascii="微軟正黑體" w:eastAsia="微軟正黑體" w:hAnsi="微軟正黑體"/>
                <w:lang w:eastAsia="zh-TW"/>
              </w:rPr>
            </w:pPr>
            <w:proofErr w:type="gramStart"/>
            <w:r>
              <w:rPr>
                <w:rFonts w:ascii="微軟正黑體" w:eastAsia="微軟正黑體" w:hAnsi="微軟正黑體" w:hint="eastAsia"/>
                <w:lang w:eastAsia="zh-TW"/>
              </w:rPr>
              <w:t>各分電盤</w:t>
            </w:r>
            <w:proofErr w:type="gramEnd"/>
            <w:r>
              <w:rPr>
                <w:rFonts w:ascii="微軟正黑體" w:eastAsia="微軟正黑體" w:hAnsi="微軟正黑體" w:hint="eastAsia"/>
                <w:lang w:eastAsia="zh-TW"/>
              </w:rPr>
              <w:t>應裝設高速型漏電斷路器(額定感度電流</w:t>
            </w:r>
            <w:r>
              <w:rPr>
                <w:rFonts w:ascii="微軟正黑體" w:eastAsia="微軟正黑體" w:hAnsi="微軟正黑體"/>
                <w:lang w:eastAsia="zh-TW"/>
              </w:rPr>
              <w:t>30mA</w:t>
            </w:r>
            <w:r>
              <w:rPr>
                <w:rFonts w:ascii="微軟正黑體" w:eastAsia="微軟正黑體" w:hAnsi="微軟正黑體" w:hint="eastAsia"/>
                <w:lang w:eastAsia="zh-TW"/>
              </w:rPr>
              <w:t>，跳脫時間0.1秒</w:t>
            </w:r>
            <w:proofErr w:type="gramStart"/>
            <w:r>
              <w:rPr>
                <w:rFonts w:ascii="微軟正黑體" w:eastAsia="微軟正黑體" w:hAnsi="微軟正黑體" w:hint="eastAsia"/>
                <w:lang w:eastAsia="zh-TW"/>
              </w:rPr>
              <w:t>以內)</w:t>
            </w:r>
            <w:proofErr w:type="gramEnd"/>
          </w:p>
        </w:tc>
        <w:tc>
          <w:tcPr>
            <w:tcW w:w="992" w:type="dxa"/>
          </w:tcPr>
          <w:p w14:paraId="6B290921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877" w:type="dxa"/>
          </w:tcPr>
          <w:p w14:paraId="20502BBB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1391" w:type="dxa"/>
          </w:tcPr>
          <w:p w14:paraId="3EAA5869" w14:textId="77777777" w:rsidR="001D5D7D" w:rsidRDefault="001D5D7D" w:rsidP="00777B38">
            <w:pPr>
              <w:jc w:val="center"/>
              <w:rPr>
                <w:rFonts w:ascii="微軟正黑體" w:eastAsia="微軟正黑體" w:hAnsi="微軟正黑體"/>
                <w:lang w:eastAsia="zh-TW"/>
              </w:rPr>
            </w:pPr>
          </w:p>
        </w:tc>
      </w:tr>
    </w:tbl>
    <w:p w14:paraId="50307C51" w14:textId="77777777" w:rsidR="001D5D7D" w:rsidRDefault="001D5D7D" w:rsidP="001D5D7D">
      <w:pPr>
        <w:spacing w:line="300" w:lineRule="exact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說明：1.本表應於移動式起重機安裝、作業前即實施檢查。</w:t>
      </w:r>
    </w:p>
    <w:p w14:paraId="6F1DFDA6" w14:textId="77777777" w:rsidR="001D5D7D" w:rsidRDefault="001D5D7D" w:rsidP="001D5D7D">
      <w:pPr>
        <w:spacing w:line="300" w:lineRule="exact"/>
        <w:ind w:left="120" w:firstLine="58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2.檢查狀況無論『合格』或『不合格』均應於各該檢查項目之各該欄『檢查結果』內標記；</w:t>
      </w:r>
    </w:p>
    <w:p w14:paraId="6C98BB6B" w14:textId="77777777" w:rsidR="001D5D7D" w:rsidRDefault="001D5D7D" w:rsidP="001D5D7D">
      <w:pPr>
        <w:spacing w:line="300" w:lineRule="exact"/>
        <w:ind w:left="120" w:firstLine="58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『不</w:t>
      </w:r>
      <w:r>
        <w:rPr>
          <w:rFonts w:ascii="微軟正黑體" w:eastAsia="微軟正黑體" w:hAnsi="微軟正黑體" w:hint="eastAsia"/>
          <w:color w:val="FFFFFF"/>
          <w:lang w:eastAsia="zh-TW"/>
        </w:rPr>
        <w:t>.</w:t>
      </w:r>
      <w:r>
        <w:rPr>
          <w:rFonts w:ascii="微軟正黑體" w:eastAsia="微軟正黑體" w:hAnsi="微軟正黑體" w:hint="eastAsia"/>
          <w:lang w:eastAsia="zh-TW"/>
        </w:rPr>
        <w:t>合格』者，需於該項目之『不合格改善措施』欄內說明改善方式。</w:t>
      </w:r>
    </w:p>
    <w:p w14:paraId="3A5AEA4A" w14:textId="77777777" w:rsidR="001D5D7D" w:rsidRDefault="001D5D7D" w:rsidP="001D5D7D">
      <w:pPr>
        <w:spacing w:line="300" w:lineRule="exact"/>
        <w:ind w:left="120" w:firstLine="58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3.本</w:t>
      </w:r>
      <w:proofErr w:type="gramStart"/>
      <w:r>
        <w:rPr>
          <w:rFonts w:ascii="微軟正黑體" w:eastAsia="微軟正黑體" w:hAnsi="微軟正黑體" w:hint="eastAsia"/>
          <w:lang w:eastAsia="zh-TW"/>
        </w:rPr>
        <w:t>檢查表經現場</w:t>
      </w:r>
      <w:proofErr w:type="gramEnd"/>
      <w:r>
        <w:rPr>
          <w:rFonts w:ascii="微軟正黑體" w:eastAsia="微軟正黑體" w:hAnsi="微軟正黑體" w:hint="eastAsia"/>
          <w:lang w:eastAsia="zh-TW"/>
        </w:rPr>
        <w:t>負責人批示後，由安全衛生</w:t>
      </w:r>
      <w:proofErr w:type="gramStart"/>
      <w:r>
        <w:rPr>
          <w:rFonts w:ascii="微軟正黑體" w:eastAsia="微軟正黑體" w:hAnsi="微軟正黑體" w:hint="eastAsia"/>
          <w:lang w:eastAsia="zh-TW"/>
        </w:rPr>
        <w:t>人員製檔存查</w:t>
      </w:r>
      <w:proofErr w:type="gramEnd"/>
      <w:r>
        <w:rPr>
          <w:rFonts w:ascii="微軟正黑體" w:eastAsia="微軟正黑體" w:hAnsi="微軟正黑體" w:hint="eastAsia"/>
          <w:lang w:eastAsia="zh-TW"/>
        </w:rPr>
        <w:t>。</w:t>
      </w:r>
    </w:p>
    <w:p w14:paraId="4CDADA72" w14:textId="77777777" w:rsidR="001D5D7D" w:rsidRDefault="001D5D7D" w:rsidP="001D5D7D">
      <w:pPr>
        <w:spacing w:beforeLines="100" w:before="240" w:line="300" w:lineRule="exact"/>
        <w:rPr>
          <w:rFonts w:ascii="微軟正黑體" w:eastAsia="微軟正黑體" w:hAnsi="微軟正黑體"/>
          <w:sz w:val="28"/>
          <w:lang w:eastAsia="zh-TW"/>
        </w:rPr>
      </w:pPr>
      <w:r>
        <w:rPr>
          <w:rFonts w:ascii="微軟正黑體" w:eastAsia="微軟正黑體" w:hAnsi="微軟正黑體" w:hint="eastAsia"/>
          <w:sz w:val="28"/>
          <w:lang w:eastAsia="zh-TW"/>
        </w:rPr>
        <w:t>現場負責人：                             安全衛生人員：                              檢查人員：</w:t>
      </w:r>
    </w:p>
    <w:p w14:paraId="34DB6C54" w14:textId="77777777" w:rsidR="00981F93" w:rsidRPr="001D5D7D" w:rsidRDefault="00981F93" w:rsidP="00981F93">
      <w:pPr>
        <w:jc w:val="center"/>
        <w:rPr>
          <w:rFonts w:ascii="微軟正黑體" w:eastAsia="微軟正黑體" w:hAnsi="微軟正黑體"/>
          <w:sz w:val="36"/>
          <w:szCs w:val="36"/>
          <w:lang w:eastAsia="zh-TW"/>
        </w:rPr>
      </w:pPr>
    </w:p>
    <w:sectPr w:rsidR="00981F93" w:rsidRPr="001D5D7D" w:rsidSect="00B62B87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3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1D24" w14:textId="77777777" w:rsidR="00CB66E0" w:rsidRDefault="00CB66E0">
      <w:r>
        <w:separator/>
      </w:r>
    </w:p>
  </w:endnote>
  <w:endnote w:type="continuationSeparator" w:id="0">
    <w:p w14:paraId="212231D9" w14:textId="77777777" w:rsidR="00CB66E0" w:rsidRDefault="00CB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8752947"/>
      <w:docPartObj>
        <w:docPartGallery w:val="Page Numbers (Bottom of Page)"/>
        <w:docPartUnique/>
      </w:docPartObj>
    </w:sdtPr>
    <w:sdtContent>
      <w:p w14:paraId="179A1893" w14:textId="7D3E8E97" w:rsidR="00B62B87" w:rsidRDefault="00B62B8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1E8170E4" w14:textId="77777777" w:rsidR="001D5D7D" w:rsidRDefault="001D5D7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293A9" w14:textId="77777777" w:rsidR="00CB66E0" w:rsidRDefault="00CB66E0">
      <w:r>
        <w:separator/>
      </w:r>
    </w:p>
  </w:footnote>
  <w:footnote w:type="continuationSeparator" w:id="0">
    <w:p w14:paraId="313DEB95" w14:textId="77777777" w:rsidR="00CB66E0" w:rsidRDefault="00CB6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05815A79" w:rsidR="00D471B6" w:rsidRPr="00D471B6" w:rsidRDefault="00D471B6" w:rsidP="008C70D1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5D7D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1C40"/>
    <w:rsid w:val="00863CA4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C70D1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B87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66E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EE8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3B77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F710816-6FF4-485B-9C4B-742C6FEF5044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0974D4CB-1DC3-464E-9306-1FA27DA92C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BE7E2-0888-4B3B-BF07-8B3D6E46A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4</cp:revision>
  <cp:lastPrinted>2022-05-06T02:25:00Z</cp:lastPrinted>
  <dcterms:created xsi:type="dcterms:W3CDTF">2023-08-09T06:07:00Z</dcterms:created>
  <dcterms:modified xsi:type="dcterms:W3CDTF">2026-05-11T06:02:00Z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